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600" w:lineRule="atLeast"/>
        <w:ind w:right="380" w:rightChars="181"/>
        <w:jc w:val="center"/>
        <w:rPr>
          <w:rFonts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天健置业</w:t>
      </w:r>
      <w:r>
        <w:rPr>
          <w:rFonts w:ascii="Verdana" w:hAnsi="Verdana" w:cs="宋体"/>
          <w:b/>
          <w:bCs/>
          <w:kern w:val="0"/>
          <w:sz w:val="36"/>
          <w:szCs w:val="36"/>
        </w:rPr>
        <w:t>20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20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年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11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月份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eastAsia="zh-CN"/>
        </w:rPr>
        <w:t>第三批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物业公开招租信息公告</w:t>
      </w:r>
    </w:p>
    <w:p>
      <w:pPr>
        <w:widowControl/>
        <w:shd w:val="clear" w:color="auto" w:fill="FFFFFF"/>
        <w:spacing w:line="525" w:lineRule="atLeast"/>
        <w:jc w:val="center"/>
        <w:rPr>
          <w:rFonts w:ascii="Verdana" w:hAnsi="Verdana" w:cs="宋体"/>
          <w:color w:val="333333"/>
          <w:kern w:val="0"/>
          <w:sz w:val="18"/>
          <w:szCs w:val="18"/>
        </w:rPr>
      </w:pPr>
    </w:p>
    <w:p>
      <w:pPr>
        <w:widowControl/>
        <w:shd w:val="clear" w:color="auto" w:fill="FFFFFF"/>
        <w:spacing w:line="525" w:lineRule="atLeast"/>
        <w:jc w:val="left"/>
        <w:rPr>
          <w:sz w:val="30"/>
          <w:szCs w:val="30"/>
        </w:rPr>
      </w:pPr>
      <w:r>
        <w:rPr>
          <w:rFonts w:hint="eastAsia" w:ascii="F1" w:hAnsi="F1" w:eastAsia="F1"/>
          <w:color w:val="333333"/>
          <w:sz w:val="28"/>
          <w:szCs w:val="28"/>
        </w:rPr>
        <w:t>受产权单位</w:t>
      </w:r>
      <w:r>
        <w:rPr>
          <w:rFonts w:hint="eastAsia" w:ascii="宋体" w:hAnsi="宋体" w:cs="宋体"/>
          <w:sz w:val="28"/>
          <w:szCs w:val="28"/>
        </w:rPr>
        <w:t>委托，本</w:t>
      </w:r>
      <w:r>
        <w:rPr>
          <w:rFonts w:hint="eastAsia"/>
          <w:sz w:val="30"/>
          <w:szCs w:val="30"/>
        </w:rPr>
        <w:t>公司对</w:t>
      </w:r>
      <w:r>
        <w:rPr>
          <w:b/>
          <w:bCs/>
          <w:sz w:val="30"/>
          <w:szCs w:val="30"/>
        </w:rPr>
        <w:t>20</w:t>
      </w:r>
      <w:r>
        <w:rPr>
          <w:rFonts w:hint="eastAsia"/>
          <w:b/>
          <w:bCs/>
          <w:sz w:val="30"/>
          <w:szCs w:val="30"/>
          <w:lang w:val="en-US" w:eastAsia="zh-CN"/>
        </w:rPr>
        <w:t>20</w:t>
      </w:r>
      <w:r>
        <w:rPr>
          <w:rFonts w:hint="eastAsia"/>
          <w:sz w:val="30"/>
          <w:szCs w:val="30"/>
        </w:rPr>
        <w:t>年</w:t>
      </w:r>
      <w:r>
        <w:rPr>
          <w:rFonts w:hint="eastAsia"/>
          <w:sz w:val="30"/>
          <w:szCs w:val="30"/>
          <w:lang w:val="en-US" w:eastAsia="zh-CN"/>
        </w:rPr>
        <w:t>11</w:t>
      </w:r>
      <w:r>
        <w:rPr>
          <w:rFonts w:hint="eastAsia"/>
          <w:sz w:val="30"/>
          <w:szCs w:val="30"/>
        </w:rPr>
        <w:t>月份空置的物业进行公开招租，公告如下：</w:t>
      </w:r>
    </w:p>
    <w:p>
      <w:pPr>
        <w:pStyle w:val="19"/>
        <w:widowControl/>
        <w:numPr>
          <w:ilvl w:val="0"/>
          <w:numId w:val="1"/>
        </w:numPr>
        <w:shd w:val="clear" w:color="auto" w:fill="FFFFFF"/>
        <w:tabs>
          <w:tab w:val="left" w:pos="7770"/>
          <w:tab w:val="left" w:pos="9975"/>
          <w:tab w:val="left" w:pos="10815"/>
        </w:tabs>
        <w:spacing w:line="420" w:lineRule="atLeast"/>
        <w:ind w:firstLineChars="0"/>
        <w:jc w:val="left"/>
        <w:rPr>
          <w:rFonts w:ascii="Verdana" w:hAnsi="Verdana" w:cs="宋体"/>
          <w:color w:val="333333"/>
          <w:kern w:val="0"/>
          <w:sz w:val="30"/>
          <w:szCs w:val="30"/>
        </w:rPr>
      </w:pPr>
      <w:r>
        <w:rPr>
          <w:rFonts w:hint="eastAsia"/>
          <w:kern w:val="0"/>
        </w:rPr>
        <w:t>招租物业基本信息</w:t>
      </w:r>
    </w:p>
    <w:tbl>
      <w:tblPr>
        <w:tblStyle w:val="9"/>
        <w:tblW w:w="15435" w:type="dxa"/>
        <w:tblInd w:w="-14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1581"/>
        <w:gridCol w:w="2450"/>
        <w:gridCol w:w="1114"/>
        <w:gridCol w:w="945"/>
        <w:gridCol w:w="1191"/>
        <w:gridCol w:w="1200"/>
        <w:gridCol w:w="1383"/>
        <w:gridCol w:w="1100"/>
        <w:gridCol w:w="1343"/>
        <w:gridCol w:w="818"/>
        <w:gridCol w:w="840"/>
        <w:gridCol w:w="9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25" w:type="dxa"/>
            <w:vMerge w:val="restart"/>
            <w:shd w:val="clear" w:color="auto" w:fill="FFFFFF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1581" w:type="dxa"/>
            <w:vMerge w:val="restart"/>
            <w:shd w:val="clear" w:color="auto" w:fill="FFFFFF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物业名称</w:t>
            </w:r>
          </w:p>
        </w:tc>
        <w:tc>
          <w:tcPr>
            <w:tcW w:w="2450" w:type="dxa"/>
            <w:vMerge w:val="restart"/>
            <w:shd w:val="clear" w:color="auto" w:fill="FFFFFF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物业地址</w:t>
            </w:r>
          </w:p>
        </w:tc>
        <w:tc>
          <w:tcPr>
            <w:tcW w:w="1114" w:type="dxa"/>
            <w:vMerge w:val="restart"/>
            <w:shd w:val="clear" w:color="auto" w:fill="FFFFFF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物业状态</w:t>
            </w:r>
          </w:p>
        </w:tc>
        <w:tc>
          <w:tcPr>
            <w:tcW w:w="945" w:type="dxa"/>
            <w:vMerge w:val="restart"/>
            <w:shd w:val="clear" w:color="auto" w:fill="FFFFFF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出租用途</w:t>
            </w:r>
          </w:p>
        </w:tc>
        <w:tc>
          <w:tcPr>
            <w:tcW w:w="1191" w:type="dxa"/>
            <w:vMerge w:val="restart"/>
            <w:shd w:val="clear" w:color="auto" w:fill="FFFFFF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出租面积</w:t>
            </w:r>
          </w:p>
        </w:tc>
        <w:tc>
          <w:tcPr>
            <w:tcW w:w="1200" w:type="dxa"/>
            <w:vMerge w:val="restart"/>
            <w:shd w:val="clear" w:color="auto" w:fill="FFFFFF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租金挂牌价格</w:t>
            </w:r>
          </w:p>
        </w:tc>
        <w:tc>
          <w:tcPr>
            <w:tcW w:w="1383" w:type="dxa"/>
            <w:shd w:val="clear" w:color="auto" w:fill="FFFFFF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免租</w:t>
            </w:r>
          </w:p>
        </w:tc>
        <w:tc>
          <w:tcPr>
            <w:tcW w:w="1100" w:type="dxa"/>
            <w:vMerge w:val="restart"/>
            <w:shd w:val="clear" w:color="auto" w:fill="FFFFFF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出租期限</w:t>
            </w:r>
          </w:p>
        </w:tc>
        <w:tc>
          <w:tcPr>
            <w:tcW w:w="1343" w:type="dxa"/>
            <w:vMerge w:val="restart"/>
            <w:shd w:val="clear" w:color="auto" w:fill="FFFFFF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递增率</w:t>
            </w:r>
          </w:p>
        </w:tc>
        <w:tc>
          <w:tcPr>
            <w:tcW w:w="818" w:type="dxa"/>
            <w:vMerge w:val="restart"/>
            <w:shd w:val="clear" w:color="auto" w:fill="FFFFFF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是否涉及优先承租权</w:t>
            </w:r>
          </w:p>
        </w:tc>
        <w:tc>
          <w:tcPr>
            <w:tcW w:w="840" w:type="dxa"/>
            <w:vMerge w:val="restart"/>
            <w:shd w:val="clear" w:color="auto" w:fill="FFFFFF"/>
            <w:vAlign w:val="center"/>
          </w:tcPr>
          <w:p>
            <w:pPr>
              <w:widowControl/>
              <w:ind w:left="-212" w:leftChars="-101" w:firstLine="211" w:firstLineChars="105"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是否允许转租</w:t>
            </w:r>
          </w:p>
        </w:tc>
        <w:tc>
          <w:tcPr>
            <w:tcW w:w="945" w:type="dxa"/>
            <w:vMerge w:val="restart"/>
            <w:shd w:val="clear" w:color="auto" w:fill="FFFFFF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是否允许联合承租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525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581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450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14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945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83" w:type="dxa"/>
            <w:shd w:val="clear" w:color="auto" w:fill="FFFFFF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期限</w:t>
            </w:r>
          </w:p>
        </w:tc>
        <w:tc>
          <w:tcPr>
            <w:tcW w:w="1100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43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840" w:type="dxa"/>
            <w:vMerge w:val="continue"/>
            <w:vAlign w:val="center"/>
          </w:tcPr>
          <w:p>
            <w:pPr>
              <w:widowControl/>
              <w:ind w:left="-212" w:leftChars="-101" w:firstLine="211" w:firstLineChars="105"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945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52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1581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宋体" w:cs="宋体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L2-3-1</w:t>
            </w:r>
          </w:p>
        </w:tc>
        <w:tc>
          <w:tcPr>
            <w:tcW w:w="2450" w:type="dxa"/>
            <w:shd w:val="clear" w:color="auto" w:fill="FFFFFF"/>
            <w:vAlign w:val="center"/>
          </w:tcPr>
          <w:p>
            <w:pPr>
              <w:widowControl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u w:val="none"/>
              </w:rPr>
              <w:t>深圳市福田区</w:t>
            </w:r>
            <w:r>
              <w:rPr>
                <w:rFonts w:hint="eastAsia" w:ascii="宋体" w:hAnsi="宋体" w:cs="仿宋_GB2312"/>
                <w:sz w:val="24"/>
                <w:szCs w:val="24"/>
                <w:highlight w:val="none"/>
                <w:u w:val="none"/>
                <w:lang w:val="en-US" w:eastAsia="zh-CN"/>
              </w:rPr>
              <w:t>香梅路天然居商业</w:t>
            </w:r>
          </w:p>
        </w:tc>
        <w:tc>
          <w:tcPr>
            <w:tcW w:w="1114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空置</w:t>
            </w:r>
          </w:p>
        </w:tc>
        <w:tc>
          <w:tcPr>
            <w:tcW w:w="94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商铺</w:t>
            </w:r>
          </w:p>
        </w:tc>
        <w:tc>
          <w:tcPr>
            <w:tcW w:w="1191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default" w:asci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150㎡</w:t>
            </w:r>
          </w:p>
        </w:tc>
        <w:tc>
          <w:tcPr>
            <w:tcW w:w="1200" w:type="dxa"/>
            <w:shd w:val="clear" w:color="auto" w:fill="FFFFFF"/>
            <w:vAlign w:val="center"/>
          </w:tcPr>
          <w:p>
            <w:pPr>
              <w:widowControl/>
              <w:jc w:val="both"/>
              <w:rPr>
                <w:rFonts w:hint="eastAsia" w:asci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1383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110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1343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818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84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94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52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581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L2-3-2</w:t>
            </w:r>
          </w:p>
        </w:tc>
        <w:tc>
          <w:tcPr>
            <w:tcW w:w="2450" w:type="dxa"/>
            <w:shd w:val="clear" w:color="auto" w:fill="FFFFFF"/>
            <w:vAlign w:val="center"/>
          </w:tcPr>
          <w:p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u w:val="none"/>
              </w:rPr>
              <w:t>深圳市福田区</w:t>
            </w:r>
            <w:r>
              <w:rPr>
                <w:rFonts w:hint="eastAsia" w:ascii="宋体" w:hAnsi="宋体" w:cs="仿宋_GB2312"/>
                <w:sz w:val="24"/>
                <w:szCs w:val="24"/>
                <w:highlight w:val="none"/>
                <w:u w:val="none"/>
                <w:lang w:val="en-US" w:eastAsia="zh-CN"/>
              </w:rPr>
              <w:t>香梅路天然居商业</w:t>
            </w:r>
          </w:p>
        </w:tc>
        <w:tc>
          <w:tcPr>
            <w:tcW w:w="1114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空置</w:t>
            </w:r>
          </w:p>
        </w:tc>
        <w:tc>
          <w:tcPr>
            <w:tcW w:w="94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商铺</w:t>
            </w:r>
          </w:p>
        </w:tc>
        <w:tc>
          <w:tcPr>
            <w:tcW w:w="1191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234.81㎡</w:t>
            </w:r>
          </w:p>
        </w:tc>
        <w:tc>
          <w:tcPr>
            <w:tcW w:w="1200" w:type="dxa"/>
            <w:shd w:val="clear" w:color="auto" w:fill="FFFFFF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1383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110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1343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818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84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94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52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581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宋体" w:hAnsi="Calibri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L4-2-2</w:t>
            </w:r>
          </w:p>
        </w:tc>
        <w:tc>
          <w:tcPr>
            <w:tcW w:w="2450" w:type="dxa"/>
            <w:shd w:val="clear" w:color="auto" w:fill="FFFFFF"/>
            <w:vAlign w:val="center"/>
          </w:tcPr>
          <w:p>
            <w:pPr>
              <w:widowControl/>
              <w:rPr>
                <w:rFonts w:hint="eastAsia" w:ascii="宋体" w:hAnsi="Calibri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u w:val="none"/>
              </w:rPr>
              <w:t>深圳市福田区</w:t>
            </w:r>
            <w:r>
              <w:rPr>
                <w:rFonts w:hint="eastAsia" w:ascii="宋体" w:hAnsi="宋体" w:cs="仿宋_GB2312"/>
                <w:sz w:val="24"/>
                <w:szCs w:val="24"/>
                <w:highlight w:val="none"/>
                <w:u w:val="none"/>
                <w:lang w:val="en-US" w:eastAsia="zh-CN"/>
              </w:rPr>
              <w:t>香梅路天然居商业</w:t>
            </w:r>
          </w:p>
        </w:tc>
        <w:tc>
          <w:tcPr>
            <w:tcW w:w="1114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Calibri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空置</w:t>
            </w:r>
          </w:p>
        </w:tc>
        <w:tc>
          <w:tcPr>
            <w:tcW w:w="94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Calibri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商铺</w:t>
            </w:r>
          </w:p>
        </w:tc>
        <w:tc>
          <w:tcPr>
            <w:tcW w:w="1191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default" w:ascii="宋体" w:hAnsi="Calibri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145㎡</w:t>
            </w:r>
          </w:p>
        </w:tc>
        <w:tc>
          <w:tcPr>
            <w:tcW w:w="1200" w:type="dxa"/>
            <w:shd w:val="clear" w:color="auto" w:fill="FFFFFF"/>
            <w:vAlign w:val="center"/>
          </w:tcPr>
          <w:p>
            <w:pPr>
              <w:widowControl/>
              <w:jc w:val="both"/>
              <w:rPr>
                <w:rFonts w:hint="eastAsia" w:ascii="宋体" w:hAnsi="Calibri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1383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Calibri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110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Calibri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1343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Calibri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818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Calibri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84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Calibri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94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Calibri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52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581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L4-2-3</w:t>
            </w:r>
          </w:p>
        </w:tc>
        <w:tc>
          <w:tcPr>
            <w:tcW w:w="2450" w:type="dxa"/>
            <w:shd w:val="clear" w:color="auto" w:fill="FFFFFF"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u w:val="none"/>
              </w:rPr>
              <w:t>深圳市福田区</w:t>
            </w:r>
            <w:r>
              <w:rPr>
                <w:rFonts w:hint="eastAsia" w:ascii="宋体" w:hAnsi="宋体" w:cs="仿宋_GB2312"/>
                <w:sz w:val="24"/>
                <w:szCs w:val="24"/>
                <w:highlight w:val="none"/>
                <w:u w:val="none"/>
                <w:lang w:val="en-US" w:eastAsia="zh-CN"/>
              </w:rPr>
              <w:t>香梅路天然居商业</w:t>
            </w:r>
          </w:p>
        </w:tc>
        <w:tc>
          <w:tcPr>
            <w:tcW w:w="1114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空置</w:t>
            </w:r>
          </w:p>
        </w:tc>
        <w:tc>
          <w:tcPr>
            <w:tcW w:w="94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商铺</w:t>
            </w:r>
          </w:p>
        </w:tc>
        <w:tc>
          <w:tcPr>
            <w:tcW w:w="1191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166.7㎡</w:t>
            </w:r>
          </w:p>
        </w:tc>
        <w:tc>
          <w:tcPr>
            <w:tcW w:w="1200" w:type="dxa"/>
            <w:shd w:val="clear" w:color="auto" w:fill="FFFFFF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1383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110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1343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818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84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  <w:tc>
          <w:tcPr>
            <w:tcW w:w="94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面议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52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81" w:type="dxa"/>
            <w:shd w:val="clear" w:color="auto" w:fill="FFFFFF"/>
            <w:vAlign w:val="center"/>
          </w:tcPr>
          <w:p>
            <w:pPr>
              <w:widowControl/>
              <w:jc w:val="both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450" w:type="dxa"/>
            <w:shd w:val="clear" w:color="auto" w:fill="FFFFFF"/>
            <w:vAlign w:val="center"/>
          </w:tcPr>
          <w:p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4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91" w:type="dxa"/>
            <w:shd w:val="clear" w:color="auto" w:fill="FFFFFF"/>
            <w:vAlign w:val="center"/>
          </w:tcPr>
          <w:p>
            <w:pPr>
              <w:widowControl/>
              <w:jc w:val="both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200" w:type="dxa"/>
            <w:shd w:val="clear" w:color="auto" w:fill="FFFFFF"/>
            <w:vAlign w:val="center"/>
          </w:tcPr>
          <w:p>
            <w:pPr>
              <w:widowControl/>
              <w:jc w:val="both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83" w:type="dxa"/>
            <w:shd w:val="clear" w:color="auto" w:fill="FFFFFF"/>
            <w:vAlign w:val="center"/>
          </w:tcPr>
          <w:p>
            <w:pPr>
              <w:widowControl/>
              <w:jc w:val="both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00" w:type="dxa"/>
            <w:shd w:val="clear" w:color="auto" w:fill="FFFFFF"/>
            <w:vAlign w:val="center"/>
          </w:tcPr>
          <w:p>
            <w:pPr>
              <w:widowControl/>
              <w:jc w:val="both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shd w:val="clear" w:color="auto" w:fill="FFFFFF"/>
            <w:vAlign w:val="center"/>
          </w:tcPr>
          <w:p>
            <w:pPr>
              <w:widowControl/>
              <w:jc w:val="both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40" w:type="dxa"/>
            <w:shd w:val="clear" w:color="auto" w:fill="FFFFFF"/>
            <w:vAlign w:val="center"/>
          </w:tcPr>
          <w:p>
            <w:pPr>
              <w:widowControl/>
              <w:ind w:left="-212" w:leftChars="-101" w:firstLine="252" w:firstLineChars="105"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</w:p>
        </w:tc>
      </w:tr>
    </w:tbl>
    <w:p>
      <w:pPr>
        <w:widowControl/>
        <w:shd w:val="clear" w:color="auto" w:fill="FFFFFF"/>
        <w:spacing w:line="420" w:lineRule="atLeast"/>
        <w:jc w:val="left"/>
        <w:rPr>
          <w:rFonts w:ascii="宋体" w:cs="宋体"/>
          <w:color w:val="333333"/>
          <w:kern w:val="0"/>
          <w:sz w:val="30"/>
          <w:szCs w:val="30"/>
        </w:rPr>
      </w:pPr>
      <w:r>
        <w:rPr>
          <w:rFonts w:hint="eastAsia" w:ascii="宋体" w:hAnsi="宋体" w:cs="宋体"/>
          <w:color w:val="333333"/>
          <w:kern w:val="0"/>
          <w:sz w:val="30"/>
          <w:szCs w:val="30"/>
        </w:rPr>
        <w:t>二、招租有效期：挂网起止时间为</w:t>
      </w:r>
      <w:r>
        <w:rPr>
          <w:rFonts w:ascii="宋体" w:hAnsi="宋体" w:cs="宋体"/>
          <w:color w:val="333333"/>
          <w:kern w:val="0"/>
          <w:sz w:val="30"/>
          <w:szCs w:val="30"/>
        </w:rPr>
        <w:t>20</w:t>
      </w:r>
      <w:r>
        <w:rPr>
          <w:rFonts w:hint="eastAsia" w:ascii="宋体" w:hAnsi="宋体" w:cs="宋体"/>
          <w:color w:val="333333"/>
          <w:kern w:val="0"/>
          <w:sz w:val="30"/>
          <w:szCs w:val="30"/>
          <w:lang w:val="en-US" w:eastAsia="zh-CN"/>
        </w:rPr>
        <w:t>20</w:t>
      </w:r>
      <w:r>
        <w:rPr>
          <w:rFonts w:hint="eastAsia" w:ascii="宋体" w:hAnsi="宋体" w:cs="宋体"/>
          <w:color w:val="333333"/>
          <w:kern w:val="0"/>
          <w:sz w:val="30"/>
          <w:szCs w:val="30"/>
        </w:rPr>
        <w:t>年</w:t>
      </w:r>
      <w:r>
        <w:rPr>
          <w:rFonts w:hint="eastAsia" w:ascii="宋体" w:hAnsi="宋体" w:cs="宋体"/>
          <w:color w:val="333333"/>
          <w:kern w:val="0"/>
          <w:sz w:val="30"/>
          <w:szCs w:val="30"/>
          <w:lang w:val="en-US" w:eastAsia="zh-CN"/>
        </w:rPr>
        <w:t>11</w:t>
      </w:r>
      <w:r>
        <w:rPr>
          <w:rFonts w:hint="eastAsia" w:ascii="宋体" w:hAnsi="宋体" w:cs="宋体"/>
          <w:color w:val="333333"/>
          <w:kern w:val="0"/>
          <w:sz w:val="30"/>
          <w:szCs w:val="30"/>
        </w:rPr>
        <w:t>月</w:t>
      </w:r>
      <w:r>
        <w:rPr>
          <w:rFonts w:hint="eastAsia" w:ascii="宋体" w:hAnsi="宋体" w:cs="宋体"/>
          <w:color w:val="333333"/>
          <w:kern w:val="0"/>
          <w:sz w:val="30"/>
          <w:szCs w:val="30"/>
          <w:lang w:val="en-US" w:eastAsia="zh-CN"/>
        </w:rPr>
        <w:t>26</w:t>
      </w:r>
      <w:r>
        <w:rPr>
          <w:rFonts w:hint="eastAsia" w:ascii="宋体" w:hAnsi="宋体" w:cs="宋体"/>
          <w:color w:val="333333"/>
          <w:kern w:val="0"/>
          <w:sz w:val="30"/>
          <w:szCs w:val="30"/>
        </w:rPr>
        <w:t>日至</w:t>
      </w:r>
      <w:r>
        <w:rPr>
          <w:rFonts w:ascii="宋体" w:hAnsi="宋体" w:cs="宋体"/>
          <w:color w:val="333333"/>
          <w:kern w:val="0"/>
          <w:sz w:val="30"/>
          <w:szCs w:val="30"/>
        </w:rPr>
        <w:t>20</w:t>
      </w:r>
      <w:r>
        <w:rPr>
          <w:rFonts w:hint="eastAsia" w:ascii="宋体" w:hAnsi="宋体" w:cs="宋体"/>
          <w:color w:val="333333"/>
          <w:kern w:val="0"/>
          <w:sz w:val="30"/>
          <w:szCs w:val="30"/>
          <w:lang w:val="en-US" w:eastAsia="zh-CN"/>
        </w:rPr>
        <w:t>20</w:t>
      </w:r>
      <w:r>
        <w:rPr>
          <w:rFonts w:hint="eastAsia" w:ascii="宋体" w:hAnsi="宋体" w:cs="宋体"/>
          <w:color w:val="333333"/>
          <w:kern w:val="0"/>
          <w:sz w:val="30"/>
          <w:szCs w:val="30"/>
        </w:rPr>
        <w:t>年</w:t>
      </w:r>
      <w:r>
        <w:rPr>
          <w:rFonts w:hint="eastAsia" w:ascii="宋体" w:hAnsi="宋体" w:cs="宋体"/>
          <w:color w:val="333333"/>
          <w:kern w:val="0"/>
          <w:sz w:val="30"/>
          <w:szCs w:val="30"/>
          <w:lang w:val="en-US" w:eastAsia="zh-CN"/>
        </w:rPr>
        <w:t>12</w:t>
      </w:r>
      <w:r>
        <w:rPr>
          <w:rFonts w:hint="eastAsia" w:ascii="宋体" w:hAnsi="宋体" w:cs="宋体"/>
          <w:color w:val="333333"/>
          <w:kern w:val="0"/>
          <w:sz w:val="30"/>
          <w:szCs w:val="30"/>
        </w:rPr>
        <w:t>月</w:t>
      </w:r>
      <w:r>
        <w:rPr>
          <w:rFonts w:hint="eastAsia" w:ascii="宋体" w:hAnsi="宋体" w:cs="宋体"/>
          <w:color w:val="333333"/>
          <w:kern w:val="0"/>
          <w:sz w:val="30"/>
          <w:szCs w:val="30"/>
          <w:lang w:val="en-US" w:eastAsia="zh-CN"/>
        </w:rPr>
        <w:t>9</w:t>
      </w:r>
      <w:bookmarkStart w:id="0" w:name="_GoBack"/>
      <w:bookmarkEnd w:id="0"/>
      <w:r>
        <w:rPr>
          <w:rFonts w:hint="eastAsia" w:ascii="宋体" w:hAnsi="宋体" w:cs="宋体"/>
          <w:color w:val="333333"/>
          <w:kern w:val="0"/>
          <w:sz w:val="30"/>
          <w:szCs w:val="30"/>
        </w:rPr>
        <w:t>日。</w:t>
      </w:r>
    </w:p>
    <w:p>
      <w:pPr>
        <w:widowControl/>
        <w:shd w:val="clear" w:color="auto" w:fill="FFFFFF"/>
        <w:spacing w:line="420" w:lineRule="atLeast"/>
        <w:jc w:val="left"/>
        <w:rPr>
          <w:rFonts w:ascii="宋体" w:cs="宋体"/>
          <w:color w:val="333333"/>
          <w:kern w:val="0"/>
          <w:sz w:val="30"/>
          <w:szCs w:val="30"/>
        </w:rPr>
      </w:pPr>
      <w:r>
        <w:rPr>
          <w:rFonts w:hint="eastAsia" w:ascii="宋体" w:hAnsi="宋体" w:cs="宋体"/>
          <w:color w:val="333333"/>
          <w:kern w:val="0"/>
          <w:sz w:val="30"/>
          <w:szCs w:val="30"/>
        </w:rPr>
        <w:t>三、招租信息网站：</w:t>
      </w:r>
      <w:r>
        <w:rPr>
          <w:rFonts w:ascii="宋体" w:hAnsi="宋体" w:cs="宋体"/>
          <w:color w:val="333333"/>
          <w:kern w:val="0"/>
          <w:sz w:val="30"/>
          <w:szCs w:val="30"/>
        </w:rPr>
        <w:t>http://www.tagen.cn</w:t>
      </w:r>
      <w:r>
        <w:rPr>
          <w:rFonts w:hint="eastAsia" w:ascii="宋体" w:hAnsi="宋体" w:cs="宋体"/>
          <w:color w:val="333333"/>
          <w:kern w:val="0"/>
          <w:sz w:val="30"/>
          <w:szCs w:val="30"/>
        </w:rPr>
        <w:t>。</w:t>
      </w:r>
      <w:r>
        <w:rPr>
          <w:rFonts w:ascii="宋体" w:cs="宋体"/>
          <w:color w:val="333333"/>
          <w:kern w:val="0"/>
          <w:sz w:val="30"/>
          <w:szCs w:val="30"/>
        </w:rPr>
        <w:br w:type="textWrapping"/>
      </w:r>
      <w:r>
        <w:rPr>
          <w:rFonts w:hint="eastAsia" w:ascii="宋体" w:hAnsi="宋体" w:cs="宋体"/>
          <w:color w:val="333333"/>
          <w:kern w:val="0"/>
          <w:sz w:val="30"/>
          <w:szCs w:val="30"/>
        </w:rPr>
        <w:t>四、承租方资格条件及招租特别说明事项：电话或现场咨询。</w:t>
      </w:r>
    </w:p>
    <w:p>
      <w:pPr>
        <w:widowControl/>
        <w:shd w:val="clear" w:color="auto" w:fill="FFFFFF"/>
        <w:spacing w:line="420" w:lineRule="atLeast"/>
        <w:jc w:val="left"/>
        <w:rPr>
          <w:rFonts w:ascii="宋体" w:cs="宋体"/>
          <w:color w:val="333333"/>
          <w:kern w:val="0"/>
          <w:sz w:val="30"/>
          <w:szCs w:val="30"/>
        </w:rPr>
      </w:pPr>
      <w:r>
        <w:rPr>
          <w:rFonts w:hint="eastAsia" w:ascii="宋体" w:hAnsi="宋体" w:cs="宋体"/>
          <w:color w:val="333333"/>
          <w:kern w:val="0"/>
          <w:sz w:val="30"/>
          <w:szCs w:val="30"/>
        </w:rPr>
        <w:t>五：意向承租方报名方式：招租期内，备齐报名资料现场报名。</w:t>
      </w:r>
    </w:p>
    <w:p>
      <w:pPr>
        <w:widowControl/>
        <w:shd w:val="clear" w:color="auto" w:fill="FFFFFF"/>
        <w:spacing w:line="420" w:lineRule="atLeast"/>
        <w:jc w:val="left"/>
        <w:rPr>
          <w:rFonts w:ascii="宋体" w:cs="宋体"/>
          <w:color w:val="333333"/>
          <w:kern w:val="0"/>
          <w:sz w:val="30"/>
          <w:szCs w:val="30"/>
        </w:rPr>
      </w:pPr>
      <w:r>
        <w:rPr>
          <w:rFonts w:hint="eastAsia" w:ascii="宋体" w:hAnsi="宋体" w:cs="宋体"/>
          <w:color w:val="333333"/>
          <w:kern w:val="0"/>
          <w:sz w:val="30"/>
          <w:szCs w:val="30"/>
        </w:rPr>
        <w:t>六、交易确定方式：招租期满，如产生两名及上符合条件的意向承租方，由本公司组织现场公开竞价，原则上价高者得。如仅产生一名符合条件的意向承租方，经天健集团备案及招租信息网站公示</w:t>
      </w:r>
      <w:r>
        <w:rPr>
          <w:rFonts w:ascii="宋体" w:hAnsi="宋体" w:cs="宋体"/>
          <w:color w:val="333333"/>
          <w:kern w:val="0"/>
          <w:sz w:val="30"/>
          <w:szCs w:val="30"/>
        </w:rPr>
        <w:t>5</w:t>
      </w:r>
      <w:r>
        <w:rPr>
          <w:rFonts w:hint="eastAsia" w:ascii="宋体" w:hAnsi="宋体" w:cs="宋体"/>
          <w:color w:val="333333"/>
          <w:kern w:val="0"/>
          <w:sz w:val="30"/>
          <w:szCs w:val="30"/>
        </w:rPr>
        <w:t>个工作日无异议后，采取协议租赁。</w:t>
      </w:r>
    </w:p>
    <w:p>
      <w:pPr>
        <w:widowControl/>
        <w:shd w:val="clear" w:color="auto" w:fill="FFFFFF"/>
        <w:spacing w:line="420" w:lineRule="atLeast"/>
        <w:jc w:val="left"/>
        <w:rPr>
          <w:rFonts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七、招租地址及电话</w:t>
      </w:r>
      <w:r>
        <w:rPr>
          <w:rFonts w:ascii="Verdana" w:hAnsi="Verdana" w:cs="宋体"/>
          <w:color w:val="333333"/>
          <w:kern w:val="0"/>
          <w:sz w:val="30"/>
          <w:szCs w:val="30"/>
        </w:rPr>
        <w:br w:type="textWrapping"/>
      </w:r>
      <w:r>
        <w:rPr>
          <w:rFonts w:ascii="Verdana" w:hAnsi="Verdana" w:cs="宋体"/>
          <w:color w:val="333333"/>
          <w:kern w:val="0"/>
          <w:sz w:val="30"/>
          <w:szCs w:val="30"/>
        </w:rPr>
        <w:t>1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、深圳市福田区商报路68号缤悦荟A座406室</w:t>
      </w:r>
    </w:p>
    <w:p>
      <w:pPr>
        <w:widowControl/>
        <w:shd w:val="clear" w:color="auto" w:fill="FFFFFF"/>
        <w:spacing w:line="420" w:lineRule="atLeast"/>
        <w:jc w:val="left"/>
        <w:rPr>
          <w:rFonts w:hint="eastAsia" w:ascii="Verdana" w:hAnsi="Verdana" w:eastAsia="宋体" w:cs="宋体"/>
          <w:color w:val="333333"/>
          <w:kern w:val="0"/>
          <w:sz w:val="30"/>
          <w:szCs w:val="30"/>
          <w:lang w:val="en-US"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eastAsia="zh-CN"/>
        </w:rPr>
        <w:t>高先生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：</w:t>
      </w:r>
      <w:r>
        <w:rPr>
          <w:rFonts w:ascii="Verdana" w:hAnsi="Verdana" w:cs="宋体"/>
          <w:color w:val="333333"/>
          <w:kern w:val="0"/>
          <w:sz w:val="30"/>
          <w:szCs w:val="30"/>
        </w:rPr>
        <w:t>0755-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83937268</w:t>
      </w:r>
    </w:p>
    <w:p>
      <w:pPr>
        <w:widowControl/>
        <w:shd w:val="clear" w:color="auto" w:fill="FFFFFF"/>
        <w:spacing w:line="420" w:lineRule="atLeast"/>
        <w:ind w:right="600"/>
        <w:jc w:val="center"/>
        <w:rPr>
          <w:rFonts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深圳市天健置业有限公司</w:t>
      </w:r>
    </w:p>
    <w:p>
      <w:pPr>
        <w:widowControl/>
        <w:shd w:val="clear" w:color="auto" w:fill="FFFFFF"/>
        <w:spacing w:line="420" w:lineRule="atLeast"/>
        <w:ind w:right="600"/>
        <w:jc w:val="center"/>
        <w:rPr>
          <w:rFonts w:ascii="Verdana" w:hAnsi="Verdana" w:cs="宋体"/>
          <w:color w:val="333333"/>
          <w:kern w:val="0"/>
          <w:sz w:val="30"/>
          <w:szCs w:val="30"/>
        </w:rPr>
      </w:pPr>
      <w:r>
        <w:rPr>
          <w:rFonts w:ascii="Verdana" w:hAnsi="Verdana" w:cs="宋体"/>
          <w:color w:val="333333"/>
          <w:kern w:val="0"/>
          <w:sz w:val="30"/>
          <w:szCs w:val="30"/>
        </w:rPr>
        <w:t>20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年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11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月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26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日</w:t>
      </w:r>
    </w:p>
    <w:sectPr>
      <w:headerReference r:id="rId3" w:type="default"/>
      <w:footerReference r:id="rId4" w:type="default"/>
      <w:pgSz w:w="16838" w:h="11906" w:orient="landscape"/>
      <w:pgMar w:top="1418" w:right="1440" w:bottom="1418" w:left="199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Verdana">
    <w:panose1 w:val="020B0604030504040204"/>
    <w:charset w:val="00"/>
    <w:family w:val="swiss"/>
    <w:pitch w:val="default"/>
    <w:sig w:usb0="00000287" w:usb1="00000000" w:usb2="00000000" w:usb3="00000000" w:csb0="2000019F" w:csb1="00000000"/>
  </w:font>
  <w:font w:name="F1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</w:t>
    </w:r>
    <w:r>
      <w:rPr>
        <w:lang w:val="zh-CN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830A9"/>
    <w:multiLevelType w:val="multilevel"/>
    <w:tmpl w:val="2A5830A9"/>
    <w:lvl w:ilvl="0" w:tentative="0">
      <w:start w:val="1"/>
      <w:numFmt w:val="japaneseCounting"/>
      <w:lvlText w:val="%1、"/>
      <w:lvlJc w:val="left"/>
      <w:pPr>
        <w:tabs>
          <w:tab w:val="left" w:pos="720"/>
        </w:tabs>
        <w:ind w:left="720" w:hanging="720"/>
      </w:pPr>
      <w:rPr>
        <w:rFonts w:hint="default" w:ascii="Calibri" w:hAnsi="Calibri" w:cs="Times New Roman"/>
        <w:color w:val="auto"/>
        <w:sz w:val="21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E33D3C"/>
    <w:rsid w:val="00000D92"/>
    <w:rsid w:val="00032CBB"/>
    <w:rsid w:val="000347DA"/>
    <w:rsid w:val="00064EDF"/>
    <w:rsid w:val="000830AB"/>
    <w:rsid w:val="000964E5"/>
    <w:rsid w:val="000E1BC0"/>
    <w:rsid w:val="001078B0"/>
    <w:rsid w:val="0013558B"/>
    <w:rsid w:val="001468D6"/>
    <w:rsid w:val="0017088F"/>
    <w:rsid w:val="0017232F"/>
    <w:rsid w:val="00183FF0"/>
    <w:rsid w:val="00186291"/>
    <w:rsid w:val="001A7386"/>
    <w:rsid w:val="001A751C"/>
    <w:rsid w:val="001B29E8"/>
    <w:rsid w:val="001E7576"/>
    <w:rsid w:val="00200546"/>
    <w:rsid w:val="002147E3"/>
    <w:rsid w:val="00226760"/>
    <w:rsid w:val="00246A9F"/>
    <w:rsid w:val="002474D9"/>
    <w:rsid w:val="00251C97"/>
    <w:rsid w:val="00273035"/>
    <w:rsid w:val="00273999"/>
    <w:rsid w:val="00274176"/>
    <w:rsid w:val="00274950"/>
    <w:rsid w:val="002833C1"/>
    <w:rsid w:val="0028710A"/>
    <w:rsid w:val="002A1226"/>
    <w:rsid w:val="002B2730"/>
    <w:rsid w:val="002C21E3"/>
    <w:rsid w:val="002E47AA"/>
    <w:rsid w:val="00300F08"/>
    <w:rsid w:val="00310AEA"/>
    <w:rsid w:val="0031303D"/>
    <w:rsid w:val="00315AF0"/>
    <w:rsid w:val="0032207A"/>
    <w:rsid w:val="00332121"/>
    <w:rsid w:val="00336C95"/>
    <w:rsid w:val="00351304"/>
    <w:rsid w:val="003608FB"/>
    <w:rsid w:val="00363627"/>
    <w:rsid w:val="00382899"/>
    <w:rsid w:val="003A3195"/>
    <w:rsid w:val="003A487F"/>
    <w:rsid w:val="003A73AB"/>
    <w:rsid w:val="003D7401"/>
    <w:rsid w:val="003F25E4"/>
    <w:rsid w:val="003F281F"/>
    <w:rsid w:val="00401693"/>
    <w:rsid w:val="00403603"/>
    <w:rsid w:val="00426424"/>
    <w:rsid w:val="00437910"/>
    <w:rsid w:val="00437CB9"/>
    <w:rsid w:val="004501EF"/>
    <w:rsid w:val="00462F72"/>
    <w:rsid w:val="00491757"/>
    <w:rsid w:val="00493524"/>
    <w:rsid w:val="00497E06"/>
    <w:rsid w:val="004A3116"/>
    <w:rsid w:val="004A418A"/>
    <w:rsid w:val="004B47D7"/>
    <w:rsid w:val="004B62C8"/>
    <w:rsid w:val="004D0F4C"/>
    <w:rsid w:val="004F061B"/>
    <w:rsid w:val="005038A8"/>
    <w:rsid w:val="00516CA8"/>
    <w:rsid w:val="0052416A"/>
    <w:rsid w:val="00537349"/>
    <w:rsid w:val="00586DBA"/>
    <w:rsid w:val="005D2CE2"/>
    <w:rsid w:val="005F1DFC"/>
    <w:rsid w:val="005F34DE"/>
    <w:rsid w:val="00610CA5"/>
    <w:rsid w:val="006153A2"/>
    <w:rsid w:val="00694F5C"/>
    <w:rsid w:val="006A72D7"/>
    <w:rsid w:val="006E0F1E"/>
    <w:rsid w:val="006E2F68"/>
    <w:rsid w:val="006E5268"/>
    <w:rsid w:val="006F7F9C"/>
    <w:rsid w:val="00724227"/>
    <w:rsid w:val="007559C7"/>
    <w:rsid w:val="00761EED"/>
    <w:rsid w:val="00791C5C"/>
    <w:rsid w:val="007C0C6A"/>
    <w:rsid w:val="007C0D3E"/>
    <w:rsid w:val="007C2879"/>
    <w:rsid w:val="007E04D9"/>
    <w:rsid w:val="007E5B74"/>
    <w:rsid w:val="00803B40"/>
    <w:rsid w:val="00820669"/>
    <w:rsid w:val="00827FC4"/>
    <w:rsid w:val="00833149"/>
    <w:rsid w:val="00846FFB"/>
    <w:rsid w:val="00852459"/>
    <w:rsid w:val="00856A91"/>
    <w:rsid w:val="008741D7"/>
    <w:rsid w:val="008777D3"/>
    <w:rsid w:val="008815BA"/>
    <w:rsid w:val="008873A9"/>
    <w:rsid w:val="008A36DB"/>
    <w:rsid w:val="008A3AFF"/>
    <w:rsid w:val="008C7610"/>
    <w:rsid w:val="008E33F9"/>
    <w:rsid w:val="008E448B"/>
    <w:rsid w:val="008F2497"/>
    <w:rsid w:val="00955C5F"/>
    <w:rsid w:val="00976762"/>
    <w:rsid w:val="0099149E"/>
    <w:rsid w:val="00991C44"/>
    <w:rsid w:val="00992315"/>
    <w:rsid w:val="009A70F9"/>
    <w:rsid w:val="009C584B"/>
    <w:rsid w:val="009D3254"/>
    <w:rsid w:val="009E409C"/>
    <w:rsid w:val="00A1072B"/>
    <w:rsid w:val="00A13A21"/>
    <w:rsid w:val="00A55F67"/>
    <w:rsid w:val="00A658B3"/>
    <w:rsid w:val="00AA2488"/>
    <w:rsid w:val="00AB0ECF"/>
    <w:rsid w:val="00AC0F2A"/>
    <w:rsid w:val="00AC3BC9"/>
    <w:rsid w:val="00AE6857"/>
    <w:rsid w:val="00AE7AA2"/>
    <w:rsid w:val="00B05616"/>
    <w:rsid w:val="00B100B5"/>
    <w:rsid w:val="00B15DC6"/>
    <w:rsid w:val="00B5792F"/>
    <w:rsid w:val="00B57EED"/>
    <w:rsid w:val="00B66CB1"/>
    <w:rsid w:val="00B76107"/>
    <w:rsid w:val="00B97125"/>
    <w:rsid w:val="00BB4461"/>
    <w:rsid w:val="00BB7AB2"/>
    <w:rsid w:val="00BD558B"/>
    <w:rsid w:val="00BE4EB6"/>
    <w:rsid w:val="00BF2FB4"/>
    <w:rsid w:val="00BF4649"/>
    <w:rsid w:val="00BF6751"/>
    <w:rsid w:val="00C253E7"/>
    <w:rsid w:val="00C41731"/>
    <w:rsid w:val="00C4642C"/>
    <w:rsid w:val="00C474A1"/>
    <w:rsid w:val="00C5409C"/>
    <w:rsid w:val="00C57A01"/>
    <w:rsid w:val="00C71F47"/>
    <w:rsid w:val="00CC7CE9"/>
    <w:rsid w:val="00CD4A21"/>
    <w:rsid w:val="00CE2991"/>
    <w:rsid w:val="00D139A6"/>
    <w:rsid w:val="00D305E9"/>
    <w:rsid w:val="00D41655"/>
    <w:rsid w:val="00D53E07"/>
    <w:rsid w:val="00D70593"/>
    <w:rsid w:val="00D7189E"/>
    <w:rsid w:val="00D77EAB"/>
    <w:rsid w:val="00D818F6"/>
    <w:rsid w:val="00DB2B45"/>
    <w:rsid w:val="00DC283B"/>
    <w:rsid w:val="00DD5245"/>
    <w:rsid w:val="00DE4AFE"/>
    <w:rsid w:val="00E029EA"/>
    <w:rsid w:val="00E22DD3"/>
    <w:rsid w:val="00E27B7D"/>
    <w:rsid w:val="00E33D3C"/>
    <w:rsid w:val="00E711A0"/>
    <w:rsid w:val="00E92083"/>
    <w:rsid w:val="00E97E56"/>
    <w:rsid w:val="00EA7EA9"/>
    <w:rsid w:val="00ED16CC"/>
    <w:rsid w:val="00EE15B8"/>
    <w:rsid w:val="00EE160C"/>
    <w:rsid w:val="00EE6950"/>
    <w:rsid w:val="00EE7F73"/>
    <w:rsid w:val="00EF7AB2"/>
    <w:rsid w:val="00F12114"/>
    <w:rsid w:val="00F3152C"/>
    <w:rsid w:val="00F6103C"/>
    <w:rsid w:val="00F713C6"/>
    <w:rsid w:val="00F8002B"/>
    <w:rsid w:val="00F956B0"/>
    <w:rsid w:val="00FA1912"/>
    <w:rsid w:val="00FA1CA1"/>
    <w:rsid w:val="00FA6B75"/>
    <w:rsid w:val="00FB475F"/>
    <w:rsid w:val="00FB68CA"/>
    <w:rsid w:val="00FC0FDC"/>
    <w:rsid w:val="00FE2FD1"/>
    <w:rsid w:val="023E1DBC"/>
    <w:rsid w:val="06B95C13"/>
    <w:rsid w:val="06F85653"/>
    <w:rsid w:val="0FB9304A"/>
    <w:rsid w:val="14B953D3"/>
    <w:rsid w:val="184D5C31"/>
    <w:rsid w:val="1A3114FF"/>
    <w:rsid w:val="1A4E1366"/>
    <w:rsid w:val="1A7A2F3B"/>
    <w:rsid w:val="1C4357BE"/>
    <w:rsid w:val="1D0477D5"/>
    <w:rsid w:val="1E4C7CF2"/>
    <w:rsid w:val="1F772629"/>
    <w:rsid w:val="201B3D36"/>
    <w:rsid w:val="21403B83"/>
    <w:rsid w:val="237616DE"/>
    <w:rsid w:val="246918FB"/>
    <w:rsid w:val="29FE5CBC"/>
    <w:rsid w:val="2A0E51DF"/>
    <w:rsid w:val="2A8E3135"/>
    <w:rsid w:val="2B90033F"/>
    <w:rsid w:val="2CD4124A"/>
    <w:rsid w:val="2D9A33DD"/>
    <w:rsid w:val="335A4AF0"/>
    <w:rsid w:val="35264560"/>
    <w:rsid w:val="37037311"/>
    <w:rsid w:val="39EE3DCC"/>
    <w:rsid w:val="3E72658E"/>
    <w:rsid w:val="3FA855DD"/>
    <w:rsid w:val="41B16E4F"/>
    <w:rsid w:val="41DA7944"/>
    <w:rsid w:val="43185D6B"/>
    <w:rsid w:val="44717BAD"/>
    <w:rsid w:val="463B37D9"/>
    <w:rsid w:val="477E12F5"/>
    <w:rsid w:val="483D7966"/>
    <w:rsid w:val="4E0504FA"/>
    <w:rsid w:val="500328C5"/>
    <w:rsid w:val="5034536B"/>
    <w:rsid w:val="58E66966"/>
    <w:rsid w:val="6094022C"/>
    <w:rsid w:val="658C7911"/>
    <w:rsid w:val="65F2046C"/>
    <w:rsid w:val="66446DF5"/>
    <w:rsid w:val="6C141738"/>
    <w:rsid w:val="6C412D2B"/>
    <w:rsid w:val="6EA56381"/>
    <w:rsid w:val="705F7F45"/>
    <w:rsid w:val="78ED029D"/>
    <w:rsid w:val="799455C1"/>
    <w:rsid w:val="7AE20014"/>
    <w:rsid w:val="7AEE5D93"/>
    <w:rsid w:val="7CC8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47"/>
    <w:semiHidden/>
    <w:qFormat/>
    <w:uiPriority w:val="99"/>
    <w:pPr>
      <w:jc w:val="left"/>
    </w:pPr>
  </w:style>
  <w:style w:type="paragraph" w:styleId="3">
    <w:name w:val="Plain Text"/>
    <w:basedOn w:val="1"/>
    <w:link w:val="49"/>
    <w:qFormat/>
    <w:uiPriority w:val="99"/>
    <w:rPr>
      <w:rFonts w:ascii="宋体" w:hAnsi="Courier New" w:cs="Courier New"/>
      <w:szCs w:val="21"/>
    </w:rPr>
  </w:style>
  <w:style w:type="paragraph" w:styleId="4">
    <w:name w:val="Balloon Text"/>
    <w:basedOn w:val="1"/>
    <w:link w:val="18"/>
    <w:semiHidden/>
    <w:qFormat/>
    <w:uiPriority w:val="99"/>
    <w:rPr>
      <w:sz w:val="18"/>
      <w:szCs w:val="18"/>
    </w:rPr>
  </w:style>
  <w:style w:type="paragraph" w:styleId="5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8">
    <w:name w:val="annotation subject"/>
    <w:basedOn w:val="2"/>
    <w:next w:val="2"/>
    <w:link w:val="48"/>
    <w:semiHidden/>
    <w:qFormat/>
    <w:uiPriority w:val="99"/>
    <w:rPr>
      <w:b/>
      <w:bCs/>
    </w:rPr>
  </w:style>
  <w:style w:type="table" w:styleId="10">
    <w:name w:val="Table Grid"/>
    <w:basedOn w:val="9"/>
    <w:qFormat/>
    <w:locked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FollowedHyperlink"/>
    <w:basedOn w:val="11"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Char"/>
    <w:basedOn w:val="11"/>
    <w:link w:val="6"/>
    <w:semiHidden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Char"/>
    <w:basedOn w:val="11"/>
    <w:link w:val="5"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qFormat/>
    <w:uiPriority w:val="99"/>
    <w:rPr>
      <w:rFonts w:cs="Times New Roman"/>
    </w:rPr>
  </w:style>
  <w:style w:type="character" w:customStyle="1" w:styleId="18">
    <w:name w:val="批注框文本 Char"/>
    <w:basedOn w:val="11"/>
    <w:link w:val="4"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qFormat/>
    <w:uiPriority w:val="99"/>
    <w:pPr>
      <w:ind w:firstLine="420" w:firstLineChars="200"/>
    </w:pPr>
  </w:style>
  <w:style w:type="paragraph" w:customStyle="1" w:styleId="20">
    <w:name w:val="font5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Char"/>
    <w:basedOn w:val="11"/>
    <w:link w:val="2"/>
    <w:semiHidden/>
    <w:qFormat/>
    <w:locked/>
    <w:uiPriority w:val="99"/>
    <w:rPr>
      <w:rFonts w:cs="Times New Roman"/>
    </w:rPr>
  </w:style>
  <w:style w:type="character" w:customStyle="1" w:styleId="48">
    <w:name w:val="批注主题 Char"/>
    <w:basedOn w:val="47"/>
    <w:link w:val="8"/>
    <w:semiHidden/>
    <w:qFormat/>
    <w:locked/>
    <w:uiPriority w:val="99"/>
    <w:rPr>
      <w:b/>
      <w:bCs/>
    </w:rPr>
  </w:style>
  <w:style w:type="character" w:customStyle="1" w:styleId="49">
    <w:name w:val="纯文本 Char"/>
    <w:basedOn w:val="11"/>
    <w:link w:val="3"/>
    <w:semiHidden/>
    <w:qFormat/>
    <w:locked/>
    <w:uiPriority w:val="99"/>
    <w:rPr>
      <w:rFonts w:ascii="宋体" w:hAnsi="Courier New" w:cs="Courier New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 (Beijing) Limited</Company>
  <Pages>4</Pages>
  <Words>349</Words>
  <Characters>1993</Characters>
  <Lines>16</Lines>
  <Paragraphs>4</Paragraphs>
  <TotalTime>15</TotalTime>
  <ScaleCrop>false</ScaleCrop>
  <LinksUpToDate>false</LinksUpToDate>
  <CharactersWithSpaces>2338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2017-07-13T08:19:00Z</dcterms:created>
  <dc:creator>lenovo</dc:creator>
  <cp:lastModifiedBy>lenovo</cp:lastModifiedBy>
  <cp:lastPrinted>2019-08-27T09:57:00Z</cp:lastPrinted>
  <dcterms:modified xsi:type="dcterms:W3CDTF">2020-11-26T03:06:08Z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